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2C" w:rsidRDefault="00352E9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63270" cy="78740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47" t="-45" r="-46" b="-45"/>
                        <a:stretch/>
                      </pic:blipFill>
                      <pic:spPr bwMode="auto">
                        <a:xfrm>
                          <a:off x="0" y="0"/>
                          <a:ext cx="76327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0.10pt;height:62.00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</w:p>
    <w:p w:rsidR="004A5D2C" w:rsidRDefault="00352E9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5D2C" w:rsidRDefault="00352E9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Кузёмкинского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A5D2C" w:rsidRDefault="00352E9C">
      <w:pPr>
        <w:spacing w:line="10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A5D2C" w:rsidRDefault="00352E9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A5D2C" w:rsidRDefault="004A5D2C">
      <w:pPr>
        <w:spacing w:line="100" w:lineRule="atLeast"/>
        <w:jc w:val="center"/>
        <w:rPr>
          <w:b/>
          <w:sz w:val="28"/>
          <w:szCs w:val="28"/>
        </w:rPr>
      </w:pPr>
    </w:p>
    <w:p w:rsidR="004A5D2C" w:rsidRDefault="00352E9C">
      <w:pPr>
        <w:spacing w:line="100" w:lineRule="atLeast"/>
        <w:jc w:val="center"/>
      </w:pPr>
      <w:r>
        <w:rPr>
          <w:b/>
          <w:sz w:val="28"/>
          <w:szCs w:val="28"/>
        </w:rPr>
        <w:t xml:space="preserve">ПОСТАНОВЛЕНИЕ </w:t>
      </w:r>
      <w:bookmarkStart w:id="0" w:name="_GoBack1"/>
      <w:bookmarkEnd w:id="0"/>
    </w:p>
    <w:p w:rsidR="004A5D2C" w:rsidRDefault="00352E9C">
      <w:pPr>
        <w:spacing w:line="100" w:lineRule="atLeast"/>
      </w:pPr>
      <w:r>
        <w:t>04</w:t>
      </w:r>
      <w:r>
        <w:t>.12</w:t>
      </w:r>
      <w:r>
        <w:t>.2023</w:t>
      </w:r>
      <w:r>
        <w:t xml:space="preserve">  года  № 195</w:t>
      </w:r>
      <w:r>
        <w:t xml:space="preserve"> </w:t>
      </w:r>
    </w:p>
    <w:p w:rsidR="004A5D2C" w:rsidRDefault="004A5D2C">
      <w:pPr>
        <w:spacing w:line="100" w:lineRule="atLeast"/>
      </w:pPr>
    </w:p>
    <w:p w:rsidR="004A5D2C" w:rsidRDefault="00352E9C">
      <w:pPr>
        <w:spacing w:line="100" w:lineRule="atLeast"/>
        <w:rPr>
          <w:bCs/>
        </w:rPr>
      </w:pPr>
      <w:r>
        <w:rPr>
          <w:bCs/>
        </w:rPr>
        <w:t xml:space="preserve">Об утверждении программы профилактики рисков </w:t>
      </w:r>
    </w:p>
    <w:p w:rsidR="004A5D2C" w:rsidRDefault="00352E9C">
      <w:pPr>
        <w:spacing w:line="100" w:lineRule="atLeast"/>
        <w:rPr>
          <w:bCs/>
        </w:rPr>
      </w:pPr>
      <w:r>
        <w:rPr>
          <w:bCs/>
        </w:rPr>
        <w:t xml:space="preserve">причинения вреда (ущерба) охраняемым законом </w:t>
      </w:r>
    </w:p>
    <w:p w:rsidR="004A5D2C" w:rsidRDefault="00352E9C">
      <w:pPr>
        <w:spacing w:line="100" w:lineRule="atLeast"/>
        <w:rPr>
          <w:bCs/>
        </w:rPr>
      </w:pPr>
      <w:r>
        <w:rPr>
          <w:bCs/>
        </w:rPr>
        <w:t xml:space="preserve">ценностям при осуществлении </w:t>
      </w:r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</w:t>
      </w:r>
    </w:p>
    <w:p w:rsidR="004A5D2C" w:rsidRDefault="00352E9C">
      <w:pPr>
        <w:spacing w:line="100" w:lineRule="atLeast"/>
        <w:rPr>
          <w:bCs/>
        </w:rPr>
      </w:pPr>
      <w:r>
        <w:rPr>
          <w:bCs/>
        </w:rPr>
        <w:t xml:space="preserve">жилищного контроля на территории </w:t>
      </w:r>
    </w:p>
    <w:p w:rsidR="004A5D2C" w:rsidRDefault="00352E9C">
      <w:pPr>
        <w:spacing w:line="100" w:lineRule="atLeast"/>
        <w:rPr>
          <w:bCs/>
        </w:rPr>
      </w:pPr>
      <w:proofErr w:type="spellStart"/>
      <w:r>
        <w:rPr>
          <w:bCs/>
        </w:rPr>
        <w:t>Кузёмкинского</w:t>
      </w:r>
      <w:proofErr w:type="spellEnd"/>
      <w:r>
        <w:rPr>
          <w:bCs/>
        </w:rPr>
        <w:t xml:space="preserve"> сельского поселения муниципального образования </w:t>
      </w:r>
    </w:p>
    <w:p w:rsidR="004A5D2C" w:rsidRDefault="00352E9C">
      <w:pPr>
        <w:spacing w:line="100" w:lineRule="atLeast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Кингисеппский</w:t>
      </w:r>
      <w:proofErr w:type="spellEnd"/>
      <w:r>
        <w:rPr>
          <w:bCs/>
        </w:rPr>
        <w:t xml:space="preserve"> муниципальный район» </w:t>
      </w:r>
    </w:p>
    <w:p w:rsidR="004A5D2C" w:rsidRDefault="00352E9C">
      <w:pPr>
        <w:spacing w:line="100" w:lineRule="atLeast"/>
      </w:pPr>
      <w:r>
        <w:rPr>
          <w:bCs/>
        </w:rPr>
        <w:t>Ленинградской области на 2024 год</w:t>
      </w:r>
    </w:p>
    <w:p w:rsidR="004A5D2C" w:rsidRDefault="004A5D2C">
      <w:pPr>
        <w:spacing w:line="100" w:lineRule="atLeast"/>
      </w:pPr>
    </w:p>
    <w:p w:rsidR="004A5D2C" w:rsidRDefault="00352E9C">
      <w:pPr>
        <w:widowControl w:val="0"/>
        <w:spacing w:line="100" w:lineRule="atLeast"/>
        <w:ind w:firstLine="709"/>
        <w:jc w:val="both"/>
      </w:pPr>
      <w:proofErr w:type="gramStart"/>
      <w:r>
        <w:t>В соответствии со</w:t>
      </w:r>
      <w:r>
        <w:rPr>
          <w:color w:val="0000FF"/>
        </w:rPr>
        <w:t xml:space="preserve"> </w:t>
      </w:r>
      <w:r>
        <w:rPr>
          <w:color w:val="000000"/>
        </w:rPr>
        <w:t>статьей 44</w:t>
      </w:r>
      <w:r>
        <w:t xml:space="preserve"> Федерального за</w:t>
      </w:r>
      <w:r>
        <w:t xml:space="preserve">кона от 31 июля 2020 г.  № 248-ФЗ «О государственном контроле (надзоре) и муниципальном контроле в Российской Федерации», </w:t>
      </w:r>
      <w:r>
        <w:rPr>
          <w:color w:val="000000"/>
        </w:rPr>
        <w:t>постановлением</w:t>
      </w:r>
      <w:r>
        <w:t xml:space="preserve"> Правительства Российской Федерации от 25 июня 2021 г. № 990 «Об утверждении Правил разработки и утверждения контрольным</w:t>
      </w:r>
      <w:r>
        <w:t xml:space="preserve">и (надзорными) органами программы профилактики рисков причинения вреда (ущерба) охраняемым законом ценностям», администрация </w:t>
      </w:r>
      <w:proofErr w:type="spellStart"/>
      <w:r>
        <w:rPr>
          <w:bCs/>
        </w:rPr>
        <w:t>Кузёмкинского</w:t>
      </w:r>
      <w:proofErr w:type="spellEnd"/>
      <w:r>
        <w:rPr>
          <w:bCs/>
        </w:rPr>
        <w:t xml:space="preserve"> сельского поселения муниципального образования «</w:t>
      </w:r>
      <w:proofErr w:type="spellStart"/>
      <w:r>
        <w:rPr>
          <w:bCs/>
        </w:rPr>
        <w:t>Кингисеппский</w:t>
      </w:r>
      <w:proofErr w:type="spellEnd"/>
      <w:r>
        <w:rPr>
          <w:bCs/>
        </w:rPr>
        <w:t xml:space="preserve"> муниципальный район</w:t>
      </w:r>
      <w:proofErr w:type="gramEnd"/>
      <w:r>
        <w:rPr>
          <w:bCs/>
        </w:rPr>
        <w:t>» Ленинградской области</w:t>
      </w:r>
    </w:p>
    <w:p w:rsidR="004A5D2C" w:rsidRDefault="004A5D2C">
      <w:pPr>
        <w:spacing w:line="100" w:lineRule="atLeast"/>
      </w:pPr>
    </w:p>
    <w:p w:rsidR="004A5D2C" w:rsidRDefault="00352E9C">
      <w:pPr>
        <w:spacing w:line="100" w:lineRule="atLeast"/>
      </w:pPr>
      <w:r>
        <w:t>ПОСТАНОВЛЯЕ</w:t>
      </w:r>
      <w:r>
        <w:t>Т:</w:t>
      </w:r>
    </w:p>
    <w:p w:rsidR="004A5D2C" w:rsidRDefault="004A5D2C">
      <w:pPr>
        <w:spacing w:line="100" w:lineRule="atLeast"/>
        <w:ind w:firstLine="709"/>
        <w:jc w:val="both"/>
      </w:pPr>
    </w:p>
    <w:p w:rsidR="004A5D2C" w:rsidRDefault="00352E9C">
      <w:pPr>
        <w:widowControl w:val="0"/>
        <w:spacing w:line="100" w:lineRule="atLeast"/>
        <w:ind w:firstLine="709"/>
        <w:jc w:val="both"/>
      </w:pPr>
      <w: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bCs/>
        </w:rPr>
        <w:t>при осуществлении муниципального жилищного контроля</w:t>
      </w:r>
      <w:r>
        <w:t xml:space="preserve"> на территории </w:t>
      </w:r>
      <w:proofErr w:type="spellStart"/>
      <w:r>
        <w:rPr>
          <w:color w:val="000000"/>
        </w:rPr>
        <w:t>Кузёмкинского</w:t>
      </w:r>
      <w:proofErr w:type="spellEnd"/>
      <w:r>
        <w:rPr>
          <w:color w:val="000000"/>
        </w:rPr>
        <w:t xml:space="preserve"> сельского поселения</w:t>
      </w:r>
      <w:r>
        <w:rPr>
          <w:bCs/>
        </w:rPr>
        <w:t xml:space="preserve"> муниципального образо</w:t>
      </w:r>
      <w:r>
        <w:rPr>
          <w:bCs/>
        </w:rPr>
        <w:t>вания «</w:t>
      </w:r>
      <w:proofErr w:type="spellStart"/>
      <w:r>
        <w:rPr>
          <w:bCs/>
        </w:rPr>
        <w:t>Кингисеппский</w:t>
      </w:r>
      <w:proofErr w:type="spellEnd"/>
      <w:r>
        <w:rPr>
          <w:bCs/>
        </w:rPr>
        <w:t xml:space="preserve"> муниципальный район» Ленинградской области</w:t>
      </w:r>
      <w:r>
        <w:t xml:space="preserve"> на 2024 год (далее соответственно – Программа профилактики, муниципальный контроль в сфере благоустройства) согласно приложению.</w:t>
      </w:r>
    </w:p>
    <w:p w:rsidR="004A5D2C" w:rsidRDefault="00352E9C">
      <w:pPr>
        <w:spacing w:line="100" w:lineRule="atLeast"/>
        <w:ind w:firstLine="709"/>
        <w:jc w:val="both"/>
      </w:pPr>
      <w:r>
        <w:t>2. Настоящее постановление вступает в силу с 01 января 2024 год</w:t>
      </w:r>
      <w:r>
        <w:t>а.</w:t>
      </w:r>
    </w:p>
    <w:p w:rsidR="004A5D2C" w:rsidRDefault="00352E9C">
      <w:pPr>
        <w:spacing w:line="100" w:lineRule="atLeast"/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rPr>
          <w:color w:val="000000"/>
        </w:rPr>
        <w:t>Кузёмкинского</w:t>
      </w:r>
      <w:proofErr w:type="spellEnd"/>
      <w:r>
        <w:rPr>
          <w:color w:val="000000"/>
        </w:rPr>
        <w:t xml:space="preserve"> сельского поселения</w:t>
      </w:r>
      <w:r>
        <w:rPr>
          <w:color w:val="000000"/>
          <w:sz w:val="32"/>
          <w:szCs w:val="28"/>
        </w:rPr>
        <w:t xml:space="preserve">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Кингисеппский</w:t>
      </w:r>
      <w:proofErr w:type="spellEnd"/>
      <w:r>
        <w:rPr>
          <w:bCs/>
        </w:rPr>
        <w:t xml:space="preserve"> муниципальный район» Ленинградской области</w:t>
      </w:r>
      <w:r>
        <w:t xml:space="preserve"> в информационно-телекоммуникационной сети «Интернет».</w:t>
      </w:r>
    </w:p>
    <w:p w:rsidR="004A5D2C" w:rsidRDefault="00352E9C">
      <w:pPr>
        <w:spacing w:line="100" w:lineRule="atLeast"/>
        <w:ind w:firstLine="709"/>
        <w:jc w:val="both"/>
      </w:pPr>
      <w:r>
        <w:t>4. Контроль исполнения настоящего постановления оставляю за собой.</w:t>
      </w:r>
    </w:p>
    <w:p w:rsidR="004A5D2C" w:rsidRDefault="004A5D2C">
      <w:pPr>
        <w:keepNext/>
        <w:keepLines/>
        <w:spacing w:line="240" w:lineRule="exact"/>
        <w:ind w:left="-108" w:right="-246"/>
      </w:pPr>
    </w:p>
    <w:p w:rsidR="004A5D2C" w:rsidRDefault="004A5D2C">
      <w:pPr>
        <w:keepNext/>
        <w:keepLines/>
        <w:spacing w:line="240" w:lineRule="exact"/>
        <w:ind w:left="-108" w:right="-246"/>
      </w:pPr>
    </w:p>
    <w:p w:rsidR="004A5D2C" w:rsidRDefault="00352E9C">
      <w:pPr>
        <w:pStyle w:val="aff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администрации                                                   </w:t>
      </w:r>
    </w:p>
    <w:p w:rsidR="004A5D2C" w:rsidRDefault="00352E9C">
      <w:pPr>
        <w:pStyle w:val="aff2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Кузёмкинского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                                                                         В.П. Кулагин</w:t>
      </w:r>
    </w:p>
    <w:p w:rsidR="004A5D2C" w:rsidRDefault="004A5D2C">
      <w:pPr>
        <w:pStyle w:val="aff2"/>
        <w:rPr>
          <w:rFonts w:cs="Times New Roman"/>
          <w:sz w:val="24"/>
          <w:szCs w:val="24"/>
        </w:rPr>
      </w:pPr>
    </w:p>
    <w:p w:rsidR="004A5D2C" w:rsidRDefault="004A5D2C">
      <w:pPr>
        <w:pStyle w:val="aff2"/>
        <w:rPr>
          <w:rFonts w:cs="Times New Roman"/>
          <w:sz w:val="24"/>
          <w:szCs w:val="24"/>
        </w:rPr>
      </w:pPr>
    </w:p>
    <w:p w:rsidR="004A5D2C" w:rsidRDefault="004A5D2C">
      <w:pPr>
        <w:pStyle w:val="aff2"/>
        <w:spacing w:line="270" w:lineRule="atLeast"/>
        <w:jc w:val="center"/>
        <w:rPr>
          <w:rFonts w:cs="Times New Roman"/>
          <w:sz w:val="24"/>
          <w:szCs w:val="24"/>
        </w:rPr>
      </w:pPr>
    </w:p>
    <w:p w:rsidR="004A5D2C" w:rsidRDefault="004A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D2C" w:rsidRDefault="004A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D2C" w:rsidRDefault="004A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D2C" w:rsidRDefault="004A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D2C" w:rsidRDefault="004A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D2C" w:rsidRDefault="00352E9C">
      <w:pPr>
        <w:jc w:val="right"/>
        <w:rPr>
          <w:color w:val="000000"/>
        </w:rPr>
      </w:pPr>
      <w:r>
        <w:rPr>
          <w:color w:val="000000"/>
        </w:rPr>
        <w:t>УТВЕРЖДЕНО:</w:t>
      </w:r>
    </w:p>
    <w:p w:rsidR="004A5D2C" w:rsidRDefault="00352E9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4A5D2C" w:rsidRDefault="00352E9C">
      <w:pPr>
        <w:shd w:val="clear" w:color="auto" w:fill="FFFFFF"/>
        <w:jc w:val="right"/>
        <w:rPr>
          <w:color w:val="000000"/>
        </w:rPr>
      </w:pPr>
      <w:proofErr w:type="spellStart"/>
      <w:r>
        <w:rPr>
          <w:color w:val="000000"/>
        </w:rPr>
        <w:t>Кузёмкинского</w:t>
      </w:r>
      <w:proofErr w:type="spellEnd"/>
      <w:r>
        <w:rPr>
          <w:color w:val="000000"/>
        </w:rPr>
        <w:t xml:space="preserve"> сельского поселения</w:t>
      </w:r>
    </w:p>
    <w:p w:rsidR="004A5D2C" w:rsidRDefault="00352E9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>т04.12.</w:t>
      </w:r>
      <w:r>
        <w:rPr>
          <w:color w:val="000000"/>
        </w:rPr>
        <w:t>.2023 г. № 195</w:t>
      </w:r>
      <w:bookmarkStart w:id="1" w:name="_GoBack"/>
      <w:bookmarkEnd w:id="1"/>
      <w:r>
        <w:rPr>
          <w:color w:val="000000"/>
        </w:rPr>
        <w:t xml:space="preserve"> </w:t>
      </w:r>
    </w:p>
    <w:p w:rsidR="004A5D2C" w:rsidRDefault="004A5D2C">
      <w:pPr>
        <w:shd w:val="clear" w:color="auto" w:fill="FFFFFF"/>
        <w:jc w:val="right"/>
        <w:rPr>
          <w:color w:val="000000"/>
        </w:rPr>
      </w:pPr>
    </w:p>
    <w:p w:rsidR="004A5D2C" w:rsidRDefault="00352E9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4A5D2C" w:rsidRDefault="004A5D2C">
      <w:pPr>
        <w:shd w:val="clear" w:color="auto" w:fill="FFFFFF"/>
        <w:jc w:val="right"/>
        <w:rPr>
          <w:color w:val="000000"/>
        </w:rPr>
      </w:pPr>
    </w:p>
    <w:p w:rsidR="004A5D2C" w:rsidRDefault="004A5D2C">
      <w:pPr>
        <w:tabs>
          <w:tab w:val="left" w:pos="567"/>
        </w:tabs>
        <w:ind w:left="5103"/>
        <w:jc w:val="both"/>
        <w:rPr>
          <w:b/>
          <w:color w:val="000000"/>
        </w:rPr>
      </w:pPr>
    </w:p>
    <w:p w:rsidR="004A5D2C" w:rsidRDefault="00352E9C">
      <w:pPr>
        <w:pStyle w:val="af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4A5D2C" w:rsidRDefault="00352E9C">
      <w:pPr>
        <w:pStyle w:val="af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>
        <w:rPr>
          <w:b/>
          <w:sz w:val="28"/>
          <w:szCs w:val="28"/>
        </w:rPr>
        <w:t>Кузёмкинского</w:t>
      </w:r>
      <w:proofErr w:type="spellEnd"/>
      <w:r>
        <w:rPr>
          <w:b/>
          <w:sz w:val="28"/>
          <w:szCs w:val="28"/>
        </w:rPr>
        <w:t xml:space="preserve"> сельского поселения на 2024 год</w:t>
      </w:r>
    </w:p>
    <w:p w:rsidR="004A5D2C" w:rsidRDefault="004A5D2C">
      <w:pPr>
        <w:pStyle w:val="afa"/>
        <w:spacing w:after="0"/>
        <w:jc w:val="center"/>
        <w:rPr>
          <w:b/>
          <w:sz w:val="28"/>
          <w:szCs w:val="28"/>
        </w:rPr>
      </w:pPr>
    </w:p>
    <w:p w:rsidR="004A5D2C" w:rsidRDefault="00352E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</w:t>
      </w:r>
      <w:r>
        <w:rPr>
          <w:bCs/>
          <w:sz w:val="28"/>
          <w:szCs w:val="28"/>
        </w:rPr>
        <w:t>профилактики рисков причинения вреда (ущерба) охраняемым з</w:t>
      </w:r>
      <w:r>
        <w:rPr>
          <w:bCs/>
          <w:sz w:val="28"/>
          <w:szCs w:val="28"/>
        </w:rPr>
        <w:t xml:space="preserve">аконом ценностям в сфере муниципального жилищного контроля на территории </w:t>
      </w:r>
      <w:proofErr w:type="spellStart"/>
      <w:r>
        <w:rPr>
          <w:bCs/>
          <w:sz w:val="28"/>
          <w:szCs w:val="28"/>
        </w:rPr>
        <w:t>Кузёмкинского</w:t>
      </w:r>
      <w:proofErr w:type="spellEnd"/>
      <w:r>
        <w:rPr>
          <w:bCs/>
          <w:sz w:val="28"/>
          <w:szCs w:val="28"/>
        </w:rPr>
        <w:t xml:space="preserve"> сельского поселения на 2023 год (далее – Программа)</w:t>
      </w:r>
      <w:r>
        <w:rPr>
          <w:sz w:val="28"/>
          <w:szCs w:val="28"/>
        </w:rPr>
        <w:t xml:space="preserve"> разработана в целях стимулирования добросовестного соблюдения обязательных требований организациями и гражданами, уст</w:t>
      </w:r>
      <w:r>
        <w:rPr>
          <w:sz w:val="28"/>
          <w:szCs w:val="28"/>
        </w:rPr>
        <w:t>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</w:t>
      </w:r>
      <w:proofErr w:type="gramEnd"/>
      <w:r>
        <w:rPr>
          <w:sz w:val="28"/>
          <w:szCs w:val="28"/>
        </w:rPr>
        <w:t xml:space="preserve"> требований до контролируемых лиц, повышение информирован</w:t>
      </w:r>
      <w:r>
        <w:rPr>
          <w:sz w:val="28"/>
          <w:szCs w:val="28"/>
        </w:rPr>
        <w:t>ности о способах их соблюдения.</w:t>
      </w:r>
    </w:p>
    <w:p w:rsidR="004A5D2C" w:rsidRDefault="00352E9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Программа подлежит исполнению должностными лицами Администрации </w:t>
      </w:r>
      <w:proofErr w:type="spellStart"/>
      <w:r>
        <w:rPr>
          <w:sz w:val="28"/>
          <w:szCs w:val="28"/>
        </w:rPr>
        <w:t>Кузёмкинского</w:t>
      </w:r>
      <w:proofErr w:type="spellEnd"/>
      <w:r>
        <w:rPr>
          <w:sz w:val="28"/>
          <w:szCs w:val="28"/>
        </w:rPr>
        <w:t xml:space="preserve"> сельского поселения, уполномоченными на осуществление муниципального жилищного контроля.</w:t>
      </w:r>
    </w:p>
    <w:p w:rsidR="004A5D2C" w:rsidRDefault="004A5D2C">
      <w:pPr>
        <w:pStyle w:val="afa"/>
        <w:spacing w:after="0"/>
        <w:ind w:firstLine="709"/>
        <w:jc w:val="both"/>
        <w:rPr>
          <w:color w:val="FF0000"/>
          <w:sz w:val="28"/>
          <w:szCs w:val="28"/>
        </w:rPr>
      </w:pPr>
    </w:p>
    <w:p w:rsidR="004A5D2C" w:rsidRDefault="00352E9C">
      <w:pPr>
        <w:pStyle w:val="af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Анализ текущего состояния осуществления муници</w:t>
      </w:r>
      <w:r>
        <w:rPr>
          <w:b/>
          <w:sz w:val="28"/>
          <w:szCs w:val="28"/>
        </w:rPr>
        <w:t xml:space="preserve">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4A5D2C" w:rsidRDefault="004A5D2C">
      <w:pPr>
        <w:pStyle w:val="afa"/>
        <w:spacing w:after="0"/>
        <w:jc w:val="center"/>
        <w:rPr>
          <w:b/>
          <w:sz w:val="28"/>
          <w:szCs w:val="28"/>
        </w:rPr>
      </w:pP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муниципальным жилищным контролем понимается де</w:t>
      </w:r>
      <w:r>
        <w:rPr>
          <w:sz w:val="28"/>
          <w:szCs w:val="28"/>
        </w:rPr>
        <w:t xml:space="preserve">ятельность контрольных органов на осуществление муниципального жилищного контроля, направленная на предупреждение, выявление и пресечение нарушений </w:t>
      </w:r>
      <w:proofErr w:type="gramStart"/>
      <w:r>
        <w:rPr>
          <w:sz w:val="28"/>
          <w:szCs w:val="28"/>
        </w:rPr>
        <w:t>обязательных требований, установленных в соответствии с жилищным законодательством, законодательством об эне</w:t>
      </w:r>
      <w:r>
        <w:rPr>
          <w:sz w:val="28"/>
          <w:szCs w:val="28"/>
        </w:rPr>
        <w:t>ргосбережении и о повышении энергетической эффективности (далее – обязательные требования) в отношении муниципального жилищного фонда, осуществляемая в пределах полномочий органа муниципального жилищного контроля посредством профилактики нарушений обязател</w:t>
      </w:r>
      <w:r>
        <w:rPr>
          <w:sz w:val="28"/>
          <w:szCs w:val="28"/>
        </w:rPr>
        <w:t>ьных требований, оценки соблюдения контролируемыми лицами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</w:t>
      </w:r>
      <w:proofErr w:type="gramEnd"/>
      <w:r>
        <w:rPr>
          <w:sz w:val="28"/>
          <w:szCs w:val="28"/>
        </w:rPr>
        <w:t xml:space="preserve"> последс</w:t>
      </w:r>
      <w:r>
        <w:rPr>
          <w:sz w:val="28"/>
          <w:szCs w:val="28"/>
        </w:rPr>
        <w:t>твий и (или) восстановлению правового положения, существовавшего до возникновения таких нарушений.</w:t>
      </w:r>
    </w:p>
    <w:p w:rsidR="004A5D2C" w:rsidRDefault="00352E9C">
      <w:pPr>
        <w:pStyle w:val="aff0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Органом, уполномоченным на осуществление муниципального жилищного контроля, является отдел благоустройства и охраны окружающей среды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Кузёмкинск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контрольный орган).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</w:t>
      </w:r>
      <w:r>
        <w:rPr>
          <w:sz w:val="28"/>
          <w:szCs w:val="28"/>
        </w:rPr>
        <w:t>нодательством об энергосбережении и о повышении энергетической эффективности в отношении муниципального жилищного фонда: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требований к использованию и сохранности жилищного фонда, в том числе требований к жилым помещениям, их использованию и содержанию, и</w:t>
      </w:r>
      <w:r>
        <w:rPr>
          <w:sz w:val="28"/>
          <w:szCs w:val="28"/>
        </w:rPr>
        <w:t>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</w:t>
      </w:r>
      <w:r>
        <w:rPr>
          <w:sz w:val="28"/>
          <w:szCs w:val="28"/>
        </w:rPr>
        <w:t>) переустройства помещений в многоквартирном доме;</w:t>
      </w:r>
      <w:proofErr w:type="gramEnd"/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требований к формированию фондов капитального ремонта;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требований к созданию и деятельности юридических лиц, индивидуальных предпринимателей, осуществляющих управление многоквартирными домами, оказываю</w:t>
      </w:r>
      <w:r>
        <w:rPr>
          <w:sz w:val="28"/>
          <w:szCs w:val="28"/>
        </w:rPr>
        <w:t>щих услуги и (или) выполняющих работы по содержанию и ремонту общего имущества в многоквартирных домах;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правил изменения разме</w:t>
      </w:r>
      <w:r>
        <w:rPr>
          <w:sz w:val="28"/>
          <w:szCs w:val="28"/>
        </w:rPr>
        <w:t>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</w:t>
      </w:r>
      <w:r>
        <w:rPr>
          <w:sz w:val="28"/>
          <w:szCs w:val="28"/>
        </w:rPr>
        <w:t>ил содержания общего имущества в многоквартирном доме и правил изменения размера платы за содержание жилого помещения;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правил предоставления, приостановки и ограничения предоставления коммунальных услуг собственникам и пользователям помещений в многоквар</w:t>
      </w:r>
      <w:r>
        <w:rPr>
          <w:sz w:val="28"/>
          <w:szCs w:val="28"/>
        </w:rPr>
        <w:t>тирных домах и жилых домов;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требований к порядку размещения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организациями, лиц</w:t>
      </w:r>
      <w:r>
        <w:rPr>
          <w:sz w:val="28"/>
          <w:szCs w:val="28"/>
        </w:rPr>
        <w:t>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требований к обеспечению доступности для инвалидов помещений в многоквартирных домах;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требований к предоставлению жилых помещений в наемных домах социального использования.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решений, принятых контрольным органом по результатам контрольных мероприятий.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Объектом муниципального жилищного контроля (далее - объект контроля) является:</w:t>
      </w:r>
    </w:p>
    <w:p w:rsidR="004A5D2C" w:rsidRDefault="00352E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деятельность, действия (бездействие) по пользованию жилыми помещениями муниципально</w:t>
      </w:r>
      <w:r>
        <w:rPr>
          <w:rFonts w:ascii="Times New Roman" w:hAnsi="Times New Roman" w:cs="Times New Roman"/>
          <w:sz w:val="28"/>
          <w:szCs w:val="28"/>
        </w:rPr>
        <w:t>го жилищного фонда;</w:t>
      </w:r>
    </w:p>
    <w:p w:rsidR="004A5D2C" w:rsidRDefault="00352E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4A5D2C" w:rsidRDefault="00352E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</w:t>
      </w:r>
      <w:r>
        <w:rPr>
          <w:rFonts w:ascii="Times New Roman" w:hAnsi="Times New Roman" w:cs="Times New Roman"/>
          <w:sz w:val="28"/>
          <w:szCs w:val="28"/>
        </w:rPr>
        <w:t>ятельность, действия (бездействие) по формированию фондов капитального ремонта;</w:t>
      </w:r>
    </w:p>
    <w:p w:rsidR="004A5D2C" w:rsidRDefault="00352E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деятельность, действия (бездействие) по управлению многоквартирными домами, включающая в себя:</w:t>
      </w:r>
    </w:p>
    <w:p w:rsidR="004A5D2C" w:rsidRDefault="00352E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деятельность, действия (бездействие) по оказанию услуг и (или) выполнению ра</w:t>
      </w:r>
      <w:r>
        <w:rPr>
          <w:rFonts w:ascii="Times New Roman" w:hAnsi="Times New Roman" w:cs="Times New Roman"/>
          <w:sz w:val="28"/>
          <w:szCs w:val="28"/>
        </w:rPr>
        <w:t>бот по содержанию и ремонту общего имущества в многоквартирных домах;</w:t>
      </w:r>
    </w:p>
    <w:p w:rsidR="004A5D2C" w:rsidRDefault="00352E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4A5D2C" w:rsidRDefault="00352E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деятельность, действия (безде</w:t>
      </w:r>
      <w:r>
        <w:rPr>
          <w:rFonts w:ascii="Times New Roman" w:hAnsi="Times New Roman" w:cs="Times New Roman"/>
          <w:sz w:val="28"/>
          <w:szCs w:val="28"/>
        </w:rPr>
        <w:t>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продолжительность;</w:t>
      </w:r>
    </w:p>
    <w:p w:rsidR="004A5D2C" w:rsidRDefault="00352E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A5D2C" w:rsidRDefault="00352E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деятельность, действия (бе</w:t>
      </w:r>
      <w:r>
        <w:rPr>
          <w:rFonts w:ascii="Times New Roman" w:hAnsi="Times New Roman" w:cs="Times New Roman"/>
          <w:sz w:val="28"/>
          <w:szCs w:val="28"/>
        </w:rPr>
        <w:t>здействие) по обеспечению доступности для инвалидов помещений в многоквартирных домах;</w:t>
      </w:r>
    </w:p>
    <w:p w:rsidR="004A5D2C" w:rsidRDefault="00352E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деятельность, действия (бездействие) по размещению информации в системе;</w:t>
      </w:r>
    </w:p>
    <w:p w:rsidR="004A5D2C" w:rsidRDefault="00352E9C">
      <w:pPr>
        <w:pStyle w:val="aff2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деятельность, действия (бездействие) по предоставлению жилых помещений в наемных домах соц</w:t>
      </w:r>
      <w:r>
        <w:rPr>
          <w:rFonts w:ascii="Times New Roman" w:hAnsi="Times New Roman" w:cs="Times New Roman"/>
          <w:sz w:val="28"/>
          <w:szCs w:val="28"/>
        </w:rPr>
        <w:t>иального использования.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сроки, установленные действующим законодательством. 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Лицами, контролир</w:t>
      </w:r>
      <w:r>
        <w:rPr>
          <w:sz w:val="28"/>
          <w:szCs w:val="28"/>
        </w:rPr>
        <w:t>уемыми контрольным органом, являются граждане и организации деятельность, которых подлежит муниципальному жилищному контролю (далее – контролируемые лица), в том числе: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индивидуальные предприниматели, осуществляющие управление многокварти</w:t>
      </w:r>
      <w:r>
        <w:rPr>
          <w:sz w:val="28"/>
          <w:szCs w:val="28"/>
        </w:rPr>
        <w:t>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</w:t>
      </w:r>
      <w:r>
        <w:rPr>
          <w:sz w:val="28"/>
          <w:szCs w:val="28"/>
        </w:rPr>
        <w:t>ости по управлению многоквартирными домами на территории Свердловской области;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юридические лица, в том числе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</w:t>
      </w:r>
      <w:r>
        <w:rPr>
          <w:sz w:val="28"/>
          <w:szCs w:val="28"/>
        </w:rPr>
        <w:t>ниципальных жилых помещений в многоквартирных домах и жилых домов;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4A5D2C" w:rsidRDefault="00352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во владении и (или) в пользовании которых находятся </w:t>
      </w:r>
      <w:r>
        <w:rPr>
          <w:sz w:val="28"/>
          <w:szCs w:val="28"/>
        </w:rPr>
        <w:t>помещения муниципального жилищного фонда.</w:t>
      </w:r>
    </w:p>
    <w:p w:rsidR="004A5D2C" w:rsidRDefault="00352E9C">
      <w:pPr>
        <w:pStyle w:val="aff2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плановые контрольные (надзорные) мероприятия не проводятся. </w:t>
      </w:r>
    </w:p>
    <w:p w:rsidR="004A5D2C" w:rsidRDefault="0035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муниципального жилищного контроля регулируется положениями Федерального з</w:t>
      </w:r>
      <w:r>
        <w:rPr>
          <w:sz w:val="28"/>
          <w:szCs w:val="28"/>
        </w:rPr>
        <w:t>акона от 31 июля 2020 года № 248-ФЗ «О государственном контроле (надзоре) и муниципальном контроле в Российской Федерации» (далее – Федерального закона № 248-ФЗ).</w:t>
      </w:r>
    </w:p>
    <w:p w:rsidR="004A5D2C" w:rsidRDefault="00352E9C">
      <w:pPr>
        <w:pStyle w:val="Standard"/>
        <w:tabs>
          <w:tab w:val="left" w:pos="113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2023 году плановые проверки в сфере муниципального жилищного контроля на территории </w:t>
      </w:r>
      <w:proofErr w:type="spellStart"/>
      <w:r>
        <w:rPr>
          <w:sz w:val="28"/>
          <w:szCs w:val="28"/>
          <w:lang w:val="ru-RU"/>
        </w:rPr>
        <w:t>Кузёмки</w:t>
      </w:r>
      <w:r>
        <w:rPr>
          <w:sz w:val="28"/>
          <w:szCs w:val="28"/>
          <w:lang w:val="ru-RU"/>
        </w:rPr>
        <w:t>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не проводились.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Основания для проведения внеплановых проверок отсутствовали.</w:t>
      </w:r>
    </w:p>
    <w:p w:rsidR="004A5D2C" w:rsidRDefault="004A5D2C">
      <w:pPr>
        <w:pStyle w:val="Standard"/>
        <w:tabs>
          <w:tab w:val="left" w:pos="113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D2C" w:rsidRDefault="00352E9C">
      <w:pPr>
        <w:pStyle w:val="afa"/>
        <w:spacing w:after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4A5D2C" w:rsidRDefault="004A5D2C">
      <w:pPr>
        <w:pStyle w:val="afa"/>
        <w:spacing w:after="0"/>
        <w:ind w:left="426"/>
        <w:jc w:val="center"/>
        <w:rPr>
          <w:b/>
          <w:sz w:val="28"/>
          <w:szCs w:val="28"/>
        </w:rPr>
      </w:pPr>
    </w:p>
    <w:p w:rsidR="004A5D2C" w:rsidRDefault="00352E9C">
      <w:pPr>
        <w:pStyle w:val="af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профилактической работы являются: </w:t>
      </w:r>
    </w:p>
    <w:p w:rsidR="004A5D2C" w:rsidRDefault="00352E9C">
      <w:pPr>
        <w:pStyle w:val="af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4A5D2C" w:rsidRDefault="00352E9C">
      <w:pPr>
        <w:pStyle w:val="af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храняемым законам ценностями;</w:t>
      </w:r>
    </w:p>
    <w:p w:rsidR="004A5D2C" w:rsidRDefault="00352E9C">
      <w:pPr>
        <w:pStyle w:val="af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>
        <w:rPr>
          <w:sz w:val="28"/>
          <w:szCs w:val="28"/>
        </w:rPr>
        <w:t>оздание условий для проведения обязательных требований до контролируемых лиц, повышение информированности о способах их соблюдения</w:t>
      </w:r>
    </w:p>
    <w:p w:rsidR="004A5D2C" w:rsidRDefault="00352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4A5D2C" w:rsidRDefault="00352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</w:t>
      </w:r>
      <w:r>
        <w:rPr>
          <w:sz w:val="28"/>
          <w:szCs w:val="28"/>
        </w:rPr>
        <w:t>яемым законом ценностям;</w:t>
      </w:r>
    </w:p>
    <w:p w:rsidR="004A5D2C" w:rsidRDefault="00352E9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A5D2C" w:rsidRDefault="00352E9C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4A5D2C" w:rsidRDefault="004A5D2C">
      <w:pPr>
        <w:jc w:val="center"/>
        <w:rPr>
          <w:sz w:val="28"/>
          <w:szCs w:val="28"/>
        </w:rPr>
      </w:pPr>
    </w:p>
    <w:p w:rsidR="004A5D2C" w:rsidRDefault="00352E9C">
      <w:pPr>
        <w:pStyle w:val="aff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Перечень профилакт</w:t>
      </w:r>
      <w:r>
        <w:rPr>
          <w:b/>
          <w:color w:val="000000"/>
          <w:sz w:val="28"/>
          <w:szCs w:val="28"/>
        </w:rPr>
        <w:t>ических мероприятий, сроки (периодичность) их проведения</w:t>
      </w:r>
    </w:p>
    <w:p w:rsidR="004A5D2C" w:rsidRDefault="004A5D2C">
      <w:pPr>
        <w:pStyle w:val="aff0"/>
        <w:ind w:left="360"/>
        <w:rPr>
          <w:b/>
          <w:color w:val="000000"/>
          <w:sz w:val="28"/>
          <w:szCs w:val="28"/>
        </w:rPr>
      </w:pP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>
        <w:rPr>
          <w:color w:val="000000"/>
          <w:sz w:val="28"/>
          <w:szCs w:val="28"/>
        </w:rPr>
        <w:t>в сфере благ</w:t>
      </w:r>
      <w:r>
        <w:rPr>
          <w:color w:val="000000"/>
          <w:sz w:val="28"/>
          <w:szCs w:val="28"/>
        </w:rPr>
        <w:t xml:space="preserve">оустройства на территории </w:t>
      </w:r>
      <w:proofErr w:type="spellStart"/>
      <w:r>
        <w:rPr>
          <w:color w:val="010101"/>
          <w:sz w:val="28"/>
          <w:szCs w:val="28"/>
        </w:rPr>
        <w:t>Кузёмкинского</w:t>
      </w:r>
      <w:proofErr w:type="spellEnd"/>
      <w:r>
        <w:rPr>
          <w:color w:val="010101"/>
          <w:sz w:val="28"/>
          <w:szCs w:val="28"/>
        </w:rPr>
        <w:t xml:space="preserve"> сельского поселения 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</w:t>
      </w:r>
      <w:r>
        <w:rPr>
          <w:color w:val="010101"/>
          <w:sz w:val="28"/>
          <w:szCs w:val="28"/>
        </w:rPr>
        <w:t xml:space="preserve">ержденными Правительством Российской Федерации, положением о муниципальном контроле </w:t>
      </w:r>
      <w:r>
        <w:rPr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color w:val="010101"/>
          <w:sz w:val="28"/>
          <w:szCs w:val="28"/>
        </w:rPr>
        <w:t>Кузёмкинского</w:t>
      </w:r>
      <w:proofErr w:type="spellEnd"/>
      <w:r>
        <w:rPr>
          <w:color w:val="010101"/>
          <w:sz w:val="28"/>
          <w:szCs w:val="28"/>
        </w:rPr>
        <w:t xml:space="preserve"> сельского поселения:</w:t>
      </w:r>
      <w:proofErr w:type="gramEnd"/>
    </w:p>
    <w:p w:rsidR="004A5D2C" w:rsidRDefault="004A5D2C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9658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2692"/>
        <w:gridCol w:w="2572"/>
      </w:tblGrid>
      <w:tr w:rsidR="004A5D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N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Ответственное</w:t>
            </w:r>
          </w:p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4A5D2C">
        <w:trPr>
          <w:trHeight w:val="112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Информирование по вопросам соблюдения обязательных требований путем размещения и поддержания в актуальном состоянии на официальном сайте </w:t>
            </w:r>
            <w:proofErr w:type="spellStart"/>
            <w:r>
              <w:rPr>
                <w:rFonts w:ascii="Times New Roman CYR" w:hAnsi="Times New Roman CYR" w:cs="Times New Roman CYR"/>
              </w:rPr>
              <w:t>Вистинского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сельского поселения:</w:t>
            </w:r>
          </w:p>
          <w:p w:rsidR="004A5D2C" w:rsidRDefault="00352E9C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</w:t>
            </w:r>
            <w:r>
              <w:rPr>
                <w:rFonts w:ascii="Times New Roman CYR" w:hAnsi="Times New Roman CYR" w:cs="Times New Roman CYR"/>
              </w:rPr>
              <w:t>ля;</w:t>
            </w:r>
          </w:p>
          <w:p w:rsidR="004A5D2C" w:rsidRDefault="00352E9C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4A5D2C" w:rsidRDefault="00352E9C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</w:t>
            </w:r>
            <w:r>
              <w:rPr>
                <w:rFonts w:ascii="Times New Roman CYR" w:hAnsi="Times New Roman CYR" w:cs="Times New Roman CYR"/>
              </w:rPr>
              <w:t>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A5D2C" w:rsidRDefault="00352E9C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сведений о порядке досудебного </w:t>
            </w:r>
            <w:r>
              <w:rPr>
                <w:rFonts w:ascii="Times New Roman CYR" w:hAnsi="Times New Roman CYR" w:cs="Times New Roman CYR"/>
              </w:rPr>
              <w:t>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A5D2C">
        <w:trPr>
          <w:trHeight w:val="5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4A5D2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4A5D2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A5D2C">
        <w:trPr>
          <w:trHeight w:val="60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4A5D2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4A5D2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A5D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Обобщение правоприменительной практики – размещение доклада о правоприменительной практике по результатам осуществления муниципального контроля</w:t>
            </w:r>
          </w:p>
          <w:p w:rsidR="004A5D2C" w:rsidRDefault="00352E9C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(надзора) в сфере благоустройства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Ежегодно до 01 июля года, следующего за </w:t>
            </w:r>
            <w:proofErr w:type="gramStart"/>
            <w:r>
              <w:rPr>
                <w:rFonts w:ascii="Times New Roman CYR" w:hAnsi="Times New Roman CYR" w:cs="Times New Roman CYR"/>
              </w:rPr>
              <w:t>отчетным</w:t>
            </w:r>
            <w:proofErr w:type="gram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Специалист администрации, к д</w:t>
            </w:r>
            <w:r>
              <w:rPr>
                <w:rFonts w:ascii="Times New Roman CYR" w:hAnsi="Times New Roman CYR" w:cs="Times New Roman CYR"/>
              </w:rPr>
              <w:t>олжностным обязанностям которого относится осуществление муниципального контроля</w:t>
            </w:r>
          </w:p>
        </w:tc>
      </w:tr>
      <w:tr w:rsidR="004A5D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течение года не позднее 30 дней со дня появления оснований, предусмотренных статьей 49 Федерального закона от 31.07.2020 № 248-ФЗ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A5D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мере обращения подконтрольных субъектов:</w:t>
            </w:r>
          </w:p>
          <w:p w:rsidR="004A5D2C" w:rsidRDefault="00352E9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 личном обращении, по телефону – 15 минут с момента соединения с оператором;</w:t>
            </w:r>
          </w:p>
          <w:p w:rsidR="004A5D2C" w:rsidRDefault="00352E9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A5D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Профилактический визит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A5D2C" w:rsidRDefault="004A5D2C">
      <w:pPr>
        <w:pStyle w:val="aff0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4A5D2C" w:rsidRDefault="00352E9C">
      <w:pPr>
        <w:pStyle w:val="aff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10101"/>
          <w:sz w:val="28"/>
          <w:szCs w:val="28"/>
        </w:rPr>
      </w:pPr>
      <w:r>
        <w:rPr>
          <w:color w:val="000000"/>
          <w:sz w:val="28"/>
          <w:szCs w:val="28"/>
        </w:rPr>
        <w:t>Информирование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proofErr w:type="spellStart"/>
      <w:r>
        <w:rPr>
          <w:color w:val="010101"/>
          <w:sz w:val="28"/>
          <w:szCs w:val="28"/>
        </w:rPr>
        <w:t>Кузёмкинского</w:t>
      </w:r>
      <w:proofErr w:type="spellEnd"/>
      <w:r>
        <w:rPr>
          <w:color w:val="010101"/>
          <w:sz w:val="28"/>
          <w:szCs w:val="28"/>
        </w:rPr>
        <w:t xml:space="preserve"> сельского поселе</w:t>
      </w:r>
      <w:r>
        <w:rPr>
          <w:color w:val="010101"/>
          <w:sz w:val="28"/>
          <w:szCs w:val="28"/>
        </w:rPr>
        <w:t xml:space="preserve">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Профилактическое мероприятие в виде информирования предполагает размещение большог</w:t>
      </w:r>
      <w:r>
        <w:rPr>
          <w:color w:val="010101"/>
          <w:sz w:val="28"/>
          <w:szCs w:val="28"/>
        </w:rPr>
        <w:t xml:space="preserve">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>
        <w:rPr>
          <w:color w:val="000000"/>
          <w:sz w:val="28"/>
          <w:szCs w:val="28"/>
        </w:rPr>
        <w:t xml:space="preserve">в сфере </w:t>
      </w:r>
      <w:r>
        <w:rPr>
          <w:color w:val="010101"/>
          <w:sz w:val="28"/>
          <w:szCs w:val="28"/>
        </w:rPr>
        <w:t>как у контрольного (надзорного) органа,</w:t>
      </w:r>
      <w:r>
        <w:rPr>
          <w:color w:val="010101"/>
          <w:sz w:val="28"/>
          <w:szCs w:val="28"/>
        </w:rPr>
        <w:t xml:space="preserve"> так и у контролируемого лица.</w:t>
      </w:r>
    </w:p>
    <w:p w:rsidR="004A5D2C" w:rsidRDefault="00352E9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</w:t>
      </w:r>
      <w:r>
        <w:rPr>
          <w:color w:val="010101"/>
          <w:sz w:val="28"/>
          <w:szCs w:val="28"/>
        </w:rPr>
        <w:t>отвратить возможные нарушения обязательных требований.</w:t>
      </w:r>
    </w:p>
    <w:p w:rsidR="004A5D2C" w:rsidRDefault="00352E9C">
      <w:pPr>
        <w:pStyle w:val="aff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10101"/>
          <w:sz w:val="28"/>
          <w:szCs w:val="28"/>
        </w:rPr>
      </w:pPr>
      <w:r>
        <w:rPr>
          <w:color w:val="000000"/>
          <w:sz w:val="28"/>
          <w:szCs w:val="28"/>
        </w:rPr>
        <w:t xml:space="preserve">Обобщение правоприменительной практики 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 xml:space="preserve">Администрацией в срок до 1 июля года, следующего за отчетным годом, на официальном сайте </w:t>
      </w:r>
      <w:proofErr w:type="spellStart"/>
      <w:r>
        <w:rPr>
          <w:color w:val="010101"/>
          <w:sz w:val="28"/>
          <w:szCs w:val="28"/>
        </w:rPr>
        <w:t>Кузёмкинского</w:t>
      </w:r>
      <w:proofErr w:type="spellEnd"/>
      <w:r>
        <w:rPr>
          <w:color w:val="010101"/>
          <w:sz w:val="28"/>
          <w:szCs w:val="28"/>
        </w:rPr>
        <w:t xml:space="preserve"> сельского поселения в сети «Интернет» в специальном раздел</w:t>
      </w:r>
      <w:r>
        <w:rPr>
          <w:color w:val="010101"/>
          <w:sz w:val="28"/>
          <w:szCs w:val="28"/>
        </w:rPr>
        <w:t>е, посвященном 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в сфере благоустройства, подготовленный на основании анализа данных о п</w:t>
      </w:r>
      <w:r>
        <w:rPr>
          <w:color w:val="010101"/>
          <w:sz w:val="28"/>
          <w:szCs w:val="28"/>
        </w:rPr>
        <w:t>роведенных контрольных мероприятиях и их результатах, включая результаты обжалования в административном</w:t>
      </w:r>
      <w:proofErr w:type="gramEnd"/>
      <w:r>
        <w:rPr>
          <w:color w:val="010101"/>
          <w:sz w:val="28"/>
          <w:szCs w:val="28"/>
        </w:rPr>
        <w:t xml:space="preserve"> и судебном </w:t>
      </w:r>
      <w:proofErr w:type="gramStart"/>
      <w:r>
        <w:rPr>
          <w:color w:val="010101"/>
          <w:sz w:val="28"/>
          <w:szCs w:val="28"/>
        </w:rPr>
        <w:t>порядке</w:t>
      </w:r>
      <w:proofErr w:type="gramEnd"/>
      <w:r>
        <w:rPr>
          <w:color w:val="010101"/>
          <w:sz w:val="28"/>
          <w:szCs w:val="28"/>
        </w:rPr>
        <w:t xml:space="preserve"> решений, действий (бездействия) администрации и его должностных  лиц, связанных с осуществлением муниципального контроля </w:t>
      </w:r>
      <w:r>
        <w:rPr>
          <w:color w:val="000000"/>
          <w:sz w:val="28"/>
          <w:szCs w:val="28"/>
        </w:rPr>
        <w:t>в сфере благ</w:t>
      </w:r>
      <w:r>
        <w:rPr>
          <w:color w:val="000000"/>
          <w:sz w:val="28"/>
          <w:szCs w:val="28"/>
        </w:rPr>
        <w:t xml:space="preserve">оустройства и результаты </w:t>
      </w:r>
      <w:r>
        <w:rPr>
          <w:color w:val="010101"/>
          <w:sz w:val="28"/>
          <w:szCs w:val="28"/>
        </w:rPr>
        <w:t>применения мер прокурорского реагирования по вопросам деятельности администрации.</w:t>
      </w:r>
    </w:p>
    <w:p w:rsidR="004A5D2C" w:rsidRDefault="00352E9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10101"/>
          <w:sz w:val="28"/>
          <w:szCs w:val="28"/>
        </w:rPr>
        <w:t>Профилактическое мероприятие в виде обобщения правоприменительной практики является эффективным, так как позволяет контролируемым лицам получить дост</w:t>
      </w:r>
      <w:r>
        <w:rPr>
          <w:color w:val="010101"/>
          <w:sz w:val="28"/>
          <w:szCs w:val="28"/>
        </w:rPr>
        <w:t xml:space="preserve">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 </w:t>
      </w:r>
    </w:p>
    <w:p w:rsidR="004A5D2C" w:rsidRDefault="00352E9C">
      <w:pPr>
        <w:pStyle w:val="aff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10101"/>
          <w:sz w:val="28"/>
          <w:szCs w:val="28"/>
        </w:rPr>
      </w:pPr>
      <w:r>
        <w:rPr>
          <w:color w:val="000000"/>
          <w:sz w:val="28"/>
          <w:szCs w:val="28"/>
        </w:rPr>
        <w:t xml:space="preserve">Объявление предостережений 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Предостережение о недопустимости нарушения о</w:t>
      </w:r>
      <w:r>
        <w:rPr>
          <w:color w:val="010101"/>
          <w:sz w:val="28"/>
          <w:szCs w:val="28"/>
        </w:rPr>
        <w:t>бязательных требований (далее – предостережение) объявляет контролируемому лицу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</w:t>
      </w:r>
      <w:r>
        <w:rPr>
          <w:color w:val="010101"/>
          <w:sz w:val="28"/>
          <w:szCs w:val="28"/>
        </w:rPr>
        <w:t>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>
        <w:rPr>
          <w:color w:val="010101"/>
          <w:sz w:val="28"/>
          <w:szCs w:val="28"/>
        </w:rPr>
        <w:t xml:space="preserve"> требований.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При наличии ос</w:t>
      </w:r>
      <w:r>
        <w:rPr>
          <w:color w:val="010101"/>
          <w:sz w:val="28"/>
          <w:szCs w:val="28"/>
        </w:rPr>
        <w:t>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</w:t>
      </w:r>
      <w:r>
        <w:rPr>
          <w:color w:val="010101"/>
          <w:sz w:val="28"/>
          <w:szCs w:val="28"/>
        </w:rPr>
        <w:t xml:space="preserve">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  <w:proofErr w:type="gramEnd"/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Объявление предостережения как профилактическое мероприятие является дост</w:t>
      </w:r>
      <w:r>
        <w:rPr>
          <w:color w:val="010101"/>
          <w:sz w:val="28"/>
          <w:szCs w:val="28"/>
        </w:rPr>
        <w:t xml:space="preserve">аточно эффективным, так как контролируемое лицо может получить информацию (не в рамках контрольного (надзорного) мероприятия) об </w:t>
      </w:r>
      <w:r>
        <w:rPr>
          <w:color w:val="010101"/>
          <w:sz w:val="28"/>
          <w:szCs w:val="28"/>
        </w:rPr>
        <w:lastRenderedPageBreak/>
        <w:t xml:space="preserve">имеющихся и возможных у него нарушениях, а самое главное, устранить нарушения или причины, которые могут привести </w:t>
      </w:r>
      <w:proofErr w:type="gramStart"/>
      <w:r>
        <w:rPr>
          <w:color w:val="010101"/>
          <w:sz w:val="28"/>
          <w:szCs w:val="28"/>
        </w:rPr>
        <w:t>к</w:t>
      </w:r>
      <w:proofErr w:type="gramEnd"/>
      <w:r>
        <w:rPr>
          <w:color w:val="010101"/>
          <w:sz w:val="28"/>
          <w:szCs w:val="28"/>
        </w:rPr>
        <w:t xml:space="preserve"> </w:t>
      </w:r>
      <w:proofErr w:type="gramStart"/>
      <w:r>
        <w:rPr>
          <w:color w:val="010101"/>
          <w:sz w:val="28"/>
          <w:szCs w:val="28"/>
        </w:rPr>
        <w:t>таким</w:t>
      </w:r>
      <w:proofErr w:type="gramEnd"/>
      <w:r>
        <w:rPr>
          <w:color w:val="010101"/>
          <w:sz w:val="28"/>
          <w:szCs w:val="28"/>
        </w:rPr>
        <w:t xml:space="preserve"> наруш</w:t>
      </w:r>
      <w:r>
        <w:rPr>
          <w:color w:val="010101"/>
          <w:sz w:val="28"/>
          <w:szCs w:val="28"/>
        </w:rPr>
        <w:t xml:space="preserve">ениям. </w:t>
      </w:r>
    </w:p>
    <w:p w:rsidR="004A5D2C" w:rsidRDefault="00352E9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совершение нарушений обязательных требований, получить информацию о наличии признаков возможных нарушениях, которые ими могут быть совершены</w:t>
      </w:r>
      <w:r>
        <w:rPr>
          <w:color w:val="010101"/>
          <w:sz w:val="28"/>
          <w:szCs w:val="28"/>
        </w:rPr>
        <w:t>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</w:t>
      </w:r>
      <w:r>
        <w:rPr>
          <w:color w:val="010101"/>
          <w:sz w:val="28"/>
          <w:szCs w:val="28"/>
        </w:rPr>
        <w:t>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4A5D2C" w:rsidRDefault="00352E9C">
      <w:pPr>
        <w:pStyle w:val="aff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10101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Консультирование контролируемых лиц и их представителей осуществляется уполномоченным должностным лицом админи</w:t>
      </w:r>
      <w:r>
        <w:rPr>
          <w:color w:val="010101"/>
          <w:sz w:val="28"/>
          <w:szCs w:val="28"/>
        </w:rPr>
        <w:t>страции по мере обращения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 Консультирование контролируемых лиц в устной форме може</w:t>
      </w:r>
      <w:r>
        <w:rPr>
          <w:color w:val="010101"/>
          <w:sz w:val="28"/>
          <w:szCs w:val="28"/>
        </w:rPr>
        <w:t xml:space="preserve">т осуществляться также на собраниях и конференциях граждан. 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контролируемым лицом представлен письменный запрос о представлен</w:t>
      </w:r>
      <w:r>
        <w:rPr>
          <w:color w:val="010101"/>
          <w:sz w:val="28"/>
          <w:szCs w:val="28"/>
        </w:rPr>
        <w:t>ии письменного ответа по вопросам консультирования;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за время консультирования предоставить в устной форме ответ на поставленные вопросы невозможно;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ответ на поставленные вопросы требует дополнительного запроса сведений.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организация и осуществление контроля в сфере благоустройства;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порядок осуществления контрольных мероприятий;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порядок обжалования действий (бездействия) должностных лиц, уполномоченных осуществлят</w:t>
      </w:r>
      <w:r>
        <w:rPr>
          <w:color w:val="010101"/>
          <w:sz w:val="28"/>
          <w:szCs w:val="28"/>
        </w:rPr>
        <w:t>ь контроль;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A5D2C" w:rsidRDefault="00352E9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10101"/>
          <w:sz w:val="28"/>
          <w:szCs w:val="28"/>
        </w:rPr>
        <w:t>Использование консультирования, как вид</w:t>
      </w:r>
      <w:r>
        <w:rPr>
          <w:color w:val="010101"/>
          <w:sz w:val="28"/>
          <w:szCs w:val="28"/>
        </w:rPr>
        <w:t>а профилактического мероприятия, имеет ряд преимуществ, среди которых удобство получения информации в связи с возможностью использования различных способов: телефон, видео-конференц-связь, личный прием, возможность получения информации в любое время, а так</w:t>
      </w:r>
      <w:r>
        <w:rPr>
          <w:color w:val="010101"/>
          <w:sz w:val="28"/>
          <w:szCs w:val="28"/>
        </w:rPr>
        <w:t xml:space="preserve">же экономия времени. </w:t>
      </w:r>
    </w:p>
    <w:p w:rsidR="004A5D2C" w:rsidRDefault="00352E9C">
      <w:pPr>
        <w:pStyle w:val="aff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10101"/>
          <w:sz w:val="28"/>
          <w:szCs w:val="28"/>
        </w:rPr>
      </w:pPr>
      <w:r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В ходе профилактического визита контролируемое лицо информирует</w:t>
      </w:r>
      <w:r>
        <w:rPr>
          <w:color w:val="010101"/>
          <w:sz w:val="28"/>
          <w:szCs w:val="28"/>
        </w:rPr>
        <w:t xml:space="preserve">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</w:t>
      </w:r>
      <w:r>
        <w:rPr>
          <w:color w:val="010101"/>
          <w:sz w:val="28"/>
          <w:szCs w:val="28"/>
        </w:rPr>
        <w:t>обязательных требований не выдаются.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Профилактический визит является эффективным способом </w:t>
      </w:r>
      <w:proofErr w:type="gramStart"/>
      <w:r>
        <w:rPr>
          <w:color w:val="010101"/>
          <w:sz w:val="28"/>
          <w:szCs w:val="28"/>
        </w:rPr>
        <w:t>выявления факторов риска причинения вреда</w:t>
      </w:r>
      <w:proofErr w:type="gramEnd"/>
      <w:r>
        <w:rPr>
          <w:color w:val="010101"/>
          <w:sz w:val="28"/>
          <w:szCs w:val="28"/>
        </w:rPr>
        <w:t xml:space="preserve"> охраняемым законом ценностям, причин и условий, способствующих нарушению обязательных требований законодательства, определен</w:t>
      </w:r>
      <w:r>
        <w:rPr>
          <w:color w:val="010101"/>
          <w:sz w:val="28"/>
          <w:szCs w:val="28"/>
        </w:rPr>
        <w:t>ия способов устранения или снижения рисков и их реализация.</w:t>
      </w:r>
    </w:p>
    <w:p w:rsidR="004A5D2C" w:rsidRDefault="004A5D2C">
      <w:pPr>
        <w:ind w:firstLine="567"/>
        <w:jc w:val="both"/>
        <w:rPr>
          <w:color w:val="010101"/>
          <w:sz w:val="28"/>
          <w:szCs w:val="28"/>
        </w:rPr>
      </w:pPr>
    </w:p>
    <w:p w:rsidR="004A5D2C" w:rsidRDefault="00352E9C">
      <w:pPr>
        <w:pStyle w:val="aff0"/>
        <w:ind w:left="0"/>
        <w:jc w:val="center"/>
        <w:rPr>
          <w:color w:val="01010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Показатели результативности и эффективности </w:t>
      </w:r>
    </w:p>
    <w:p w:rsidR="004A5D2C" w:rsidRDefault="004A5D2C">
      <w:pPr>
        <w:ind w:firstLine="567"/>
        <w:jc w:val="both"/>
        <w:rPr>
          <w:color w:val="010101"/>
          <w:sz w:val="28"/>
          <w:szCs w:val="28"/>
        </w:rPr>
      </w:pP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Конечный значимый результат реализации мероприятий программы профилактики заключается в минимизации риска причинения вреда (ущерба) охраняемым зак</w:t>
      </w:r>
      <w:r>
        <w:rPr>
          <w:color w:val="010101"/>
          <w:sz w:val="28"/>
          <w:szCs w:val="28"/>
        </w:rPr>
        <w:t xml:space="preserve">оном ценностям. </w:t>
      </w: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Отчетными показателями результативности и эффективности </w:t>
      </w:r>
      <w:proofErr w:type="gramStart"/>
      <w:r>
        <w:rPr>
          <w:color w:val="010101"/>
          <w:sz w:val="28"/>
          <w:szCs w:val="28"/>
        </w:rPr>
        <w:t>мероприятий программы профилактики рисков причинения</w:t>
      </w:r>
      <w:proofErr w:type="gramEnd"/>
      <w:r>
        <w:rPr>
          <w:color w:val="010101"/>
          <w:sz w:val="28"/>
          <w:szCs w:val="28"/>
        </w:rPr>
        <w:t xml:space="preserve"> вреда (ущерба) охраняемым законом ценностям являются: </w:t>
      </w:r>
    </w:p>
    <w:p w:rsidR="004A5D2C" w:rsidRDefault="004A5D2C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9658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628"/>
        <w:gridCol w:w="6600"/>
        <w:gridCol w:w="2430"/>
      </w:tblGrid>
      <w:tr w:rsidR="004A5D2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№</w:t>
            </w:r>
            <w:r>
              <w:rPr>
                <w:rFonts w:ascii="Times New Roman CYR" w:eastAsia="Times New Roman CYR" w:hAnsi="Times New Roman CYR" w:cs="Times New Roman CYR"/>
                <w:b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>/п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2C" w:rsidRDefault="00352E9C">
            <w:pPr>
              <w:widowControl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4A5D2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r>
              <w:t>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jc w:val="center"/>
            </w:pPr>
            <w:r>
              <w:t>70%</w:t>
            </w:r>
          </w:p>
        </w:tc>
      </w:tr>
      <w:tr w:rsidR="004A5D2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r>
              <w:t>2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jc w:val="center"/>
            </w:pPr>
            <w:r>
              <w:t>0%</w:t>
            </w:r>
          </w:p>
        </w:tc>
      </w:tr>
      <w:tr w:rsidR="004A5D2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r>
              <w:t>3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r>
              <w:t>Процент отмененных результатов контрольных  мероприятий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jc w:val="center"/>
            </w:pPr>
            <w:r>
              <w:t>0%</w:t>
            </w:r>
          </w:p>
        </w:tc>
      </w:tr>
      <w:tr w:rsidR="004A5D2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r>
              <w:t>4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r>
              <w:t>Количество проведенных профилактических мероприятий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jc w:val="center"/>
            </w:pPr>
            <w:r>
              <w:t>шт.</w:t>
            </w:r>
          </w:p>
        </w:tc>
      </w:tr>
      <w:tr w:rsidR="004A5D2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r>
              <w:t>5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r>
              <w:t>Количество предостережений о недопустимости нарушения обязательных требований, выданных за отчетный период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jc w:val="center"/>
            </w:pPr>
            <w:r>
              <w:t>шт.</w:t>
            </w:r>
          </w:p>
        </w:tc>
      </w:tr>
      <w:tr w:rsidR="004A5D2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r>
              <w:t>6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r>
              <w:t>Количество поданных возражений на предостережения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jc w:val="center"/>
            </w:pPr>
            <w:r>
              <w:t>шт.</w:t>
            </w:r>
          </w:p>
        </w:tc>
      </w:tr>
      <w:tr w:rsidR="004A5D2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r>
              <w:t>7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r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jc w:val="center"/>
            </w:pPr>
            <w:r>
              <w:t>шт.</w:t>
            </w:r>
          </w:p>
        </w:tc>
      </w:tr>
      <w:tr w:rsidR="004A5D2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r>
              <w:t>8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r>
              <w:t xml:space="preserve">Количество осуществленных консультирований в устной и письменной форме, а также посредством размещения на официальном сайте </w:t>
            </w:r>
            <w:proofErr w:type="spellStart"/>
            <w:r>
              <w:t>Кузёмкинского</w:t>
            </w:r>
            <w:proofErr w:type="spellEnd"/>
            <w:r>
              <w:t xml:space="preserve"> сельского посе</w:t>
            </w:r>
            <w:r>
              <w:t xml:space="preserve">ления в информационно-телекоммуникационной сети «Интернет» письменных разъяснений.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jc w:val="center"/>
            </w:pPr>
            <w:r>
              <w:t>шт.</w:t>
            </w:r>
          </w:p>
        </w:tc>
      </w:tr>
      <w:tr w:rsidR="004A5D2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r>
              <w:t>9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r>
              <w:t xml:space="preserve"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</w:t>
            </w:r>
            <w:r>
              <w:t>видео-конференц-связи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jc w:val="center"/>
            </w:pPr>
            <w:r>
              <w:t>шт.</w:t>
            </w:r>
          </w:p>
        </w:tc>
      </w:tr>
      <w:tr w:rsidR="004A5D2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2C" w:rsidRDefault="00352E9C">
            <w:r>
              <w:t>10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D2C" w:rsidRDefault="00352E9C">
            <w: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2C" w:rsidRDefault="00352E9C">
            <w:pPr>
              <w:jc w:val="center"/>
            </w:pPr>
            <w:r>
              <w:t>100%</w:t>
            </w:r>
          </w:p>
        </w:tc>
      </w:tr>
    </w:tbl>
    <w:p w:rsidR="004A5D2C" w:rsidRDefault="004A5D2C">
      <w:pPr>
        <w:ind w:firstLine="567"/>
        <w:jc w:val="both"/>
        <w:rPr>
          <w:color w:val="010101"/>
          <w:sz w:val="28"/>
          <w:szCs w:val="28"/>
        </w:rPr>
      </w:pPr>
    </w:p>
    <w:p w:rsidR="004A5D2C" w:rsidRDefault="00352E9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Основным конечным </w:t>
      </w:r>
      <w:r>
        <w:rPr>
          <w:color w:val="010101"/>
          <w:sz w:val="28"/>
          <w:szCs w:val="28"/>
        </w:rPr>
        <w:t xml:space="preserve">результатом </w:t>
      </w:r>
      <w:proofErr w:type="gramStart"/>
      <w:r>
        <w:rPr>
          <w:color w:val="010101"/>
          <w:sz w:val="28"/>
          <w:szCs w:val="28"/>
        </w:rPr>
        <w:t>реализации Программы профилактики рисков причинения вреда</w:t>
      </w:r>
      <w:proofErr w:type="gramEnd"/>
      <w:r>
        <w:rPr>
          <w:color w:val="010101"/>
          <w:sz w:val="28"/>
          <w:szCs w:val="28"/>
        </w:rPr>
        <w:t xml:space="preserve"> охраняемым законом ценностям является снижение количества выявленных в период с января 2024 г. по декабрь 2024 г. нарушений требований законодательства по видам муниципального контроля. </w:t>
      </w:r>
    </w:p>
    <w:sectPr w:rsidR="004A5D2C">
      <w:pgSz w:w="11906" w:h="16838"/>
      <w:pgMar w:top="851" w:right="851" w:bottom="851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2C" w:rsidRDefault="00352E9C">
      <w:r>
        <w:separator/>
      </w:r>
    </w:p>
  </w:endnote>
  <w:endnote w:type="continuationSeparator" w:id="0">
    <w:p w:rsidR="004A5D2C" w:rsidRDefault="0035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2C" w:rsidRDefault="00352E9C">
      <w:r>
        <w:separator/>
      </w:r>
    </w:p>
  </w:footnote>
  <w:footnote w:type="continuationSeparator" w:id="0">
    <w:p w:rsidR="004A5D2C" w:rsidRDefault="0035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5ACA"/>
    <w:multiLevelType w:val="multilevel"/>
    <w:tmpl w:val="1DE67F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7CE64C99"/>
    <w:multiLevelType w:val="hybridMultilevel"/>
    <w:tmpl w:val="8ED0356C"/>
    <w:lvl w:ilvl="0" w:tplc="EC6448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46A5D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2684E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0CE10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7F0C9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8C82D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2744E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C8460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D5E1B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2C"/>
    <w:rsid w:val="00352E9C"/>
    <w:rsid w:val="004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qFormat/>
    <w:pPr>
      <w:suppressLineNumbers/>
      <w:spacing w:before="120" w:after="120"/>
    </w:pPr>
    <w:rPr>
      <w:rFonts w:cs="Arial"/>
      <w:i/>
      <w:iCs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1">
    <w:name w:val="WW8Num1z1"/>
    <w:qFormat/>
    <w:rPr>
      <w:b w:val="0"/>
      <w:color w:val="000000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Заголовок №1_"/>
    <w:basedOn w:val="a0"/>
    <w:qFormat/>
    <w:rPr>
      <w:b/>
      <w:bCs/>
      <w:sz w:val="46"/>
      <w:szCs w:val="46"/>
    </w:rPr>
  </w:style>
  <w:style w:type="character" w:customStyle="1" w:styleId="24">
    <w:name w:val="Заголовок №2_"/>
    <w:basedOn w:val="a0"/>
    <w:qFormat/>
    <w:rPr>
      <w:b/>
      <w:bCs/>
      <w:sz w:val="34"/>
      <w:szCs w:val="34"/>
    </w:rPr>
  </w:style>
  <w:style w:type="character" w:customStyle="1" w:styleId="af6">
    <w:name w:val="Основной текст_"/>
    <w:basedOn w:val="a0"/>
    <w:qFormat/>
    <w:rPr>
      <w:sz w:val="22"/>
      <w:szCs w:val="22"/>
    </w:rPr>
  </w:style>
  <w:style w:type="character" w:customStyle="1" w:styleId="13">
    <w:name w:val="Основной текст1"/>
    <w:basedOn w:val="af6"/>
    <w:qFormat/>
    <w:rPr>
      <w:color w:val="000000"/>
      <w:spacing w:val="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af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qFormat/>
    <w:rPr>
      <w:b/>
      <w:color w:val="26282F"/>
      <w:sz w:val="26"/>
    </w:rPr>
  </w:style>
  <w:style w:type="character" w:customStyle="1" w:styleId="ConsPlusNormal1">
    <w:name w:val="ConsPlusNormal1"/>
    <w:qFormat/>
    <w:rPr>
      <w:rFonts w:ascii="Arial" w:hAnsi="Arial" w:cs="Arial"/>
      <w:lang w:eastAsia="ar-SA"/>
    </w:rPr>
  </w:style>
  <w:style w:type="character" w:styleId="af9">
    <w:name w:val="Hyper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Заголовок"/>
    <w:basedOn w:val="a"/>
    <w:next w:val="af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e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Заголовок №1"/>
    <w:basedOn w:val="a"/>
    <w:qFormat/>
    <w:pPr>
      <w:widowControl w:val="0"/>
      <w:shd w:val="clear" w:color="auto" w:fill="FFFFFF"/>
      <w:spacing w:after="120" w:line="542" w:lineRule="exact"/>
    </w:pPr>
    <w:rPr>
      <w:b/>
      <w:bCs/>
      <w:sz w:val="46"/>
      <w:szCs w:val="46"/>
    </w:rPr>
  </w:style>
  <w:style w:type="paragraph" w:customStyle="1" w:styleId="25">
    <w:name w:val="Заголовок №2"/>
    <w:basedOn w:val="a"/>
    <w:qFormat/>
    <w:pPr>
      <w:widowControl w:val="0"/>
      <w:shd w:val="clear" w:color="auto" w:fill="FFFFFF"/>
      <w:spacing w:before="120" w:after="120" w:line="408" w:lineRule="exact"/>
    </w:pPr>
    <w:rPr>
      <w:b/>
      <w:bCs/>
      <w:sz w:val="34"/>
      <w:szCs w:val="34"/>
    </w:rPr>
  </w:style>
  <w:style w:type="paragraph" w:customStyle="1" w:styleId="26">
    <w:name w:val="Основной текст2"/>
    <w:basedOn w:val="a"/>
    <w:qFormat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f1">
    <w:name w:val="Normal (Web)"/>
    <w:basedOn w:val="a"/>
    <w:qFormat/>
    <w:pPr>
      <w:spacing w:before="100" w:after="100"/>
    </w:pPr>
  </w:style>
  <w:style w:type="paragraph" w:styleId="aff2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Standard">
    <w:name w:val="Standard"/>
    <w:qFormat/>
    <w:rPr>
      <w:rFonts w:ascii="Liberation Serif;Times New Roma" w:eastAsia="SimSun;宋体" w:hAnsi="Liberation Serif;Times New Roma" w:cs="Mangal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qFormat/>
    <w:pPr>
      <w:suppressLineNumbers/>
      <w:spacing w:before="120" w:after="120"/>
    </w:pPr>
    <w:rPr>
      <w:rFonts w:cs="Arial"/>
      <w:i/>
      <w:iCs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1">
    <w:name w:val="WW8Num1z1"/>
    <w:qFormat/>
    <w:rPr>
      <w:b w:val="0"/>
      <w:color w:val="000000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Заголовок №1_"/>
    <w:basedOn w:val="a0"/>
    <w:qFormat/>
    <w:rPr>
      <w:b/>
      <w:bCs/>
      <w:sz w:val="46"/>
      <w:szCs w:val="46"/>
    </w:rPr>
  </w:style>
  <w:style w:type="character" w:customStyle="1" w:styleId="24">
    <w:name w:val="Заголовок №2_"/>
    <w:basedOn w:val="a0"/>
    <w:qFormat/>
    <w:rPr>
      <w:b/>
      <w:bCs/>
      <w:sz w:val="34"/>
      <w:szCs w:val="34"/>
    </w:rPr>
  </w:style>
  <w:style w:type="character" w:customStyle="1" w:styleId="af6">
    <w:name w:val="Основной текст_"/>
    <w:basedOn w:val="a0"/>
    <w:qFormat/>
    <w:rPr>
      <w:sz w:val="22"/>
      <w:szCs w:val="22"/>
    </w:rPr>
  </w:style>
  <w:style w:type="character" w:customStyle="1" w:styleId="13">
    <w:name w:val="Основной текст1"/>
    <w:basedOn w:val="af6"/>
    <w:qFormat/>
    <w:rPr>
      <w:color w:val="000000"/>
      <w:spacing w:val="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af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qFormat/>
    <w:rPr>
      <w:b/>
      <w:color w:val="26282F"/>
      <w:sz w:val="26"/>
    </w:rPr>
  </w:style>
  <w:style w:type="character" w:customStyle="1" w:styleId="ConsPlusNormal1">
    <w:name w:val="ConsPlusNormal1"/>
    <w:qFormat/>
    <w:rPr>
      <w:rFonts w:ascii="Arial" w:hAnsi="Arial" w:cs="Arial"/>
      <w:lang w:eastAsia="ar-SA"/>
    </w:rPr>
  </w:style>
  <w:style w:type="character" w:styleId="af9">
    <w:name w:val="Hyper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Заголовок"/>
    <w:basedOn w:val="a"/>
    <w:next w:val="af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e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Заголовок №1"/>
    <w:basedOn w:val="a"/>
    <w:qFormat/>
    <w:pPr>
      <w:widowControl w:val="0"/>
      <w:shd w:val="clear" w:color="auto" w:fill="FFFFFF"/>
      <w:spacing w:after="120" w:line="542" w:lineRule="exact"/>
    </w:pPr>
    <w:rPr>
      <w:b/>
      <w:bCs/>
      <w:sz w:val="46"/>
      <w:szCs w:val="46"/>
    </w:rPr>
  </w:style>
  <w:style w:type="paragraph" w:customStyle="1" w:styleId="25">
    <w:name w:val="Заголовок №2"/>
    <w:basedOn w:val="a"/>
    <w:qFormat/>
    <w:pPr>
      <w:widowControl w:val="0"/>
      <w:shd w:val="clear" w:color="auto" w:fill="FFFFFF"/>
      <w:spacing w:before="120" w:after="120" w:line="408" w:lineRule="exact"/>
    </w:pPr>
    <w:rPr>
      <w:b/>
      <w:bCs/>
      <w:sz w:val="34"/>
      <w:szCs w:val="34"/>
    </w:rPr>
  </w:style>
  <w:style w:type="paragraph" w:customStyle="1" w:styleId="26">
    <w:name w:val="Основной текст2"/>
    <w:basedOn w:val="a"/>
    <w:qFormat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f1">
    <w:name w:val="Normal (Web)"/>
    <w:basedOn w:val="a"/>
    <w:qFormat/>
    <w:pPr>
      <w:spacing w:before="100" w:after="100"/>
    </w:pPr>
  </w:style>
  <w:style w:type="paragraph" w:styleId="aff2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Standard">
    <w:name w:val="Standard"/>
    <w:qFormat/>
    <w:rPr>
      <w:rFonts w:ascii="Liberation Serif;Times New Roma" w:eastAsia="SimSun;宋体" w:hAnsi="Liberation Serif;Times New Roma" w:cs="Mangal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3495</Words>
  <Characters>19922</Characters>
  <Application>Microsoft Office Word</Application>
  <DocSecurity>0</DocSecurity>
  <Lines>166</Lines>
  <Paragraphs>46</Paragraphs>
  <ScaleCrop>false</ScaleCrop>
  <Company>1</Company>
  <LinksUpToDate>false</LinksUpToDate>
  <CharactersWithSpaces>23371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dc:description/>
  <cp:lastModifiedBy>Пользователь</cp:lastModifiedBy>
  <cp:revision>12</cp:revision>
  <dcterms:created xsi:type="dcterms:W3CDTF">2022-09-21T19:41:00Z</dcterms:created>
  <dcterms:modified xsi:type="dcterms:W3CDTF">2023-12-04T08:55:00Z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