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835" w:rsidRPr="009E0835" w:rsidRDefault="009E0835" w:rsidP="009E08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E08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Оформление пенсии зависит не только от вас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9E0835" w:rsidRDefault="009E0835" w:rsidP="009E0835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Начиная с 2024 г. и последующие годы, для того чтобы гражданин имел право на страховую пенсию по старости, ему необходимо иметь 15 лет страхового стажа и не менее 30 индивидуальных пенсионных коэффициентов. </w:t>
      </w:r>
    </w:p>
    <w:p w:rsidR="009E0835" w:rsidRDefault="009E0835" w:rsidP="009E083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 учетом переходного периода в 2019 году для назначения пенсии требуется 10 лет страхового стажа и 16,2 пенсионных балла. Для расчета размера будущей пенсии принимается только официальный доход, а точнее – начисленные страховые взносы на обязательное пенсионное страхование, которые учитываются на индивидуальном лицевом счете гражданина, преобразованные в пенсионные баллы. Если гражданин работает неофициально, ему не удастся накопить необходимое количество баллов. Кроме того, его стаж не будет зафиксирован на индивидуальном лицевом счете.</w:t>
      </w:r>
    </w:p>
    <w:p w:rsidR="009E0835" w:rsidRDefault="009E0835" w:rsidP="009E083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К сожалению, ежегодно количество отказов в назначении пенсии растет. Основная причина – это отсутствие права на страховую пенсию по старости, из-за отсутствия требуемого общего или специального стажа и (или) наличия необходимой величины индивидуального пенсионного коэффициента.</w:t>
      </w:r>
    </w:p>
    <w:p w:rsidR="009E0835" w:rsidRDefault="009E0835" w:rsidP="009E083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Гражданам, которые не имеют право на установление пенсии по старости, может быть установлена только социальная пенсия. При этом право на пенсию у данных лиц возникает на 5 лет позже общеустановленного пенсионного возраста.</w:t>
      </w:r>
    </w:p>
    <w:p w:rsidR="009E0835" w:rsidRDefault="009E0835" w:rsidP="009E083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Процесс назначения пенсии (определение права на пенсию и ее размер) начинается с оценки представленных гражданином документов, подтверждающих его стаж, стаж на вредных или тяжелых видах работ, оценки заработной платы и сведений индивидуального лицевого счета застрахованного лица. Если к этому не готовиться заранее, этот процесс может занять много времени.</w:t>
      </w:r>
    </w:p>
    <w:p w:rsidR="009E0835" w:rsidRDefault="009E0835" w:rsidP="009E083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Все уплаченные страховые взносы отражаются на индивидуальном лицевом счете, который можно проверить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через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>:</w:t>
      </w:r>
    </w:p>
    <w:p w:rsidR="009E0835" w:rsidRDefault="009E0835" w:rsidP="009E083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cs="Tms Rmn"/>
          <w:color w:val="000000"/>
          <w:sz w:val="24"/>
          <w:szCs w:val="24"/>
        </w:rPr>
        <w:t>-</w:t>
      </w:r>
      <w:r>
        <w:rPr>
          <w:rFonts w:ascii="Tms Rmn" w:hAnsi="Tms Rmn" w:cs="Tms Rmn"/>
          <w:color w:val="000000"/>
          <w:sz w:val="24"/>
          <w:szCs w:val="24"/>
        </w:rPr>
        <w:t>«Личный кабинет гражданина» </w:t>
      </w:r>
      <w:hyperlink r:id="rId4" w:history="1">
        <w:r>
          <w:rPr>
            <w:rFonts w:ascii="Tms Rmn" w:hAnsi="Tms Rmn" w:cs="Tms Rmn"/>
            <w:color w:val="0000FF"/>
            <w:sz w:val="24"/>
            <w:szCs w:val="24"/>
          </w:rPr>
          <w:t>www.es.pfrf.ru</w:t>
        </w:r>
      </w:hyperlink>
      <w:r>
        <w:rPr>
          <w:rFonts w:ascii="Tms Rmn" w:hAnsi="Tms Rmn" w:cs="Tms Rmn"/>
          <w:color w:val="000000"/>
          <w:sz w:val="24"/>
          <w:szCs w:val="24"/>
        </w:rPr>
        <w:t>;</w:t>
      </w:r>
    </w:p>
    <w:p w:rsidR="009E0835" w:rsidRDefault="009E0835" w:rsidP="009E083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cs="Tms Rmn"/>
          <w:color w:val="000000"/>
          <w:sz w:val="24"/>
          <w:szCs w:val="24"/>
        </w:rPr>
        <w:t>-</w:t>
      </w:r>
      <w:r>
        <w:rPr>
          <w:rFonts w:ascii="Tms Rmn" w:hAnsi="Tms Rmn" w:cs="Tms Rmn"/>
          <w:color w:val="000000"/>
          <w:sz w:val="24"/>
          <w:szCs w:val="24"/>
        </w:rPr>
        <w:t>Единый портал государственных и муниципальных услуг </w:t>
      </w:r>
      <w:hyperlink r:id="rId5" w:history="1">
        <w:r>
          <w:rPr>
            <w:rFonts w:ascii="Tms Rmn" w:hAnsi="Tms Rmn" w:cs="Tms Rmn"/>
            <w:color w:val="0000FF"/>
            <w:sz w:val="24"/>
            <w:szCs w:val="24"/>
          </w:rPr>
          <w:t>www.gosuslugi.ru</w:t>
        </w:r>
      </w:hyperlink>
      <w:r>
        <w:rPr>
          <w:rFonts w:ascii="Tms Rmn" w:hAnsi="Tms Rmn" w:cs="Tms Rmn"/>
          <w:color w:val="000000"/>
          <w:sz w:val="24"/>
          <w:szCs w:val="24"/>
        </w:rPr>
        <w:t>.</w:t>
      </w:r>
    </w:p>
    <w:p w:rsidR="009E0835" w:rsidRDefault="009E0835" w:rsidP="009E083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Кроме того, сведения о состоянии индивидуального лицевого счета можно получить в </w:t>
      </w:r>
      <w:r w:rsidRPr="009E0835">
        <w:rPr>
          <w:rFonts w:ascii="Times New Roman" w:hAnsi="Times New Roman" w:cs="Times New Roman"/>
          <w:color w:val="000000"/>
          <w:sz w:val="24"/>
          <w:szCs w:val="24"/>
        </w:rPr>
        <w:t>Управлении</w:t>
      </w:r>
      <w:r>
        <w:rPr>
          <w:rFonts w:ascii="Tms Rmn" w:hAnsi="Tms Rmn" w:cs="Tms Rmn"/>
          <w:color w:val="000000"/>
          <w:sz w:val="24"/>
          <w:szCs w:val="24"/>
        </w:rPr>
        <w:t xml:space="preserve"> Пенсионного фонда или в МФЦ при личном обращении.</w:t>
      </w:r>
    </w:p>
    <w:p w:rsidR="009E0835" w:rsidRDefault="009E0835" w:rsidP="009E083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большинстве случаев при оценке выявляются несоответствия в документах, влияющие на определение права на пенсию и на ее размер и требующие сбора и предоставления дополнительных документов.</w:t>
      </w:r>
    </w:p>
    <w:p w:rsidR="009E0835" w:rsidRDefault="009E0835" w:rsidP="009E083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Чтобы избежать многих проблем, с 2015 года законодательно закреплено право граждан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обращаться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за назначением пенсии дистанционно через своего работодателя, не посещая офис Пенсионного фонда. Для реализации этого права заключается дополнительное соглашение «Об электронном информационном взаимодействии по заблаговременной подготовке документов, необходимых для назначения пенсии», к действующему соглашению «Об обмене электронными документами в системе электронного документооборота ПФР по телекоммуникационным каналам связи» в рамках предоставления отчетности работодателем.</w:t>
      </w:r>
    </w:p>
    <w:p w:rsidR="009E0835" w:rsidRDefault="009E0835" w:rsidP="009E083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lastRenderedPageBreak/>
        <w:t>Но не все понимают важность такого обмена информацией. За 5 месяцев 2019 года с учетом документов, поступивших от страхователей, назначено только 12 % пенсий.</w:t>
      </w:r>
    </w:p>
    <w:p w:rsidR="009E0835" w:rsidRDefault="009E0835" w:rsidP="009E083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Переход человека на новую ступень своего жизненного пути – выход на пенсию – волнительный, и ПФР стремится сделать этот переход менее болезненным, используя в работе различные способы и методы. Если работодатели поймут всю важность информационного обмена с Управлени</w:t>
      </w:r>
      <w:r w:rsidRPr="009E0835">
        <w:rPr>
          <w:rFonts w:ascii="Times New Roman" w:hAnsi="Times New Roman" w:cs="Times New Roman"/>
          <w:color w:val="000000"/>
          <w:sz w:val="24"/>
          <w:szCs w:val="24"/>
        </w:rPr>
        <w:t>ем</w:t>
      </w:r>
      <w:r>
        <w:rPr>
          <w:rFonts w:ascii="Tms Rmn" w:hAnsi="Tms Rmn" w:cs="Tms Rmn"/>
          <w:color w:val="000000"/>
          <w:sz w:val="24"/>
          <w:szCs w:val="24"/>
        </w:rPr>
        <w:t xml:space="preserve"> ПФР, они тем самым облегчат своим работникам процесс назначения пенсии.</w:t>
      </w:r>
    </w:p>
    <w:p w:rsidR="009E0835" w:rsidRDefault="009E0835" w:rsidP="009E0835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E05699" w:rsidRPr="009E0835" w:rsidRDefault="009E0835">
      <w:pPr>
        <w:rPr>
          <w:rFonts w:ascii="Times New Roman" w:hAnsi="Times New Roman" w:cs="Times New Roman"/>
        </w:rPr>
      </w:pPr>
      <w:r w:rsidRPr="009E0835">
        <w:rPr>
          <w:rFonts w:ascii="Times New Roman" w:hAnsi="Times New Roman" w:cs="Times New Roman"/>
        </w:rPr>
        <w:t xml:space="preserve">                                                                                   УПФР в </w:t>
      </w:r>
      <w:proofErr w:type="spellStart"/>
      <w:r w:rsidRPr="009E0835">
        <w:rPr>
          <w:rFonts w:ascii="Times New Roman" w:hAnsi="Times New Roman" w:cs="Times New Roman"/>
        </w:rPr>
        <w:t>Кингисеппском</w:t>
      </w:r>
      <w:proofErr w:type="spellEnd"/>
      <w:r w:rsidRPr="009E0835">
        <w:rPr>
          <w:rFonts w:ascii="Times New Roman" w:hAnsi="Times New Roman" w:cs="Times New Roman"/>
        </w:rPr>
        <w:t xml:space="preserve"> районе (</w:t>
      </w:r>
      <w:proofErr w:type="gramStart"/>
      <w:r w:rsidRPr="009E0835">
        <w:rPr>
          <w:rFonts w:ascii="Times New Roman" w:hAnsi="Times New Roman" w:cs="Times New Roman"/>
        </w:rPr>
        <w:t>межрайонное</w:t>
      </w:r>
      <w:proofErr w:type="gramEnd"/>
      <w:r w:rsidRPr="009E0835">
        <w:rPr>
          <w:rFonts w:ascii="Times New Roman" w:hAnsi="Times New Roman" w:cs="Times New Roman"/>
        </w:rPr>
        <w:t>)</w:t>
      </w:r>
    </w:p>
    <w:sectPr w:rsidR="00E05699" w:rsidRPr="009E0835" w:rsidSect="00C6232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0835"/>
    <w:rsid w:val="009E0835"/>
    <w:rsid w:val="00E05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suslugi.ru" TargetMode="External"/><Relationship Id="rId4" Type="http://schemas.openxmlformats.org/officeDocument/2006/relationships/hyperlink" Target="http://www.es.pfr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521</Words>
  <Characters>2972</Characters>
  <Application>Microsoft Office Word</Application>
  <DocSecurity>0</DocSecurity>
  <Lines>24</Lines>
  <Paragraphs>6</Paragraphs>
  <ScaleCrop>false</ScaleCrop>
  <Company/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2019-09-17T10:55:00Z</dcterms:created>
  <dcterms:modified xsi:type="dcterms:W3CDTF">2019-09-17T11:03:00Z</dcterms:modified>
</cp:coreProperties>
</file>